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3C" w:rsidRPr="003F7199" w:rsidRDefault="00440B6C" w:rsidP="003F43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F433C" w:rsidRPr="003F7199" w:rsidRDefault="00440B6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F433C" w:rsidRPr="003F7199" w:rsidRDefault="00440B6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F433C" w:rsidRPr="003F7199" w:rsidRDefault="00440B6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3F433C" w:rsidRPr="003F7199" w:rsidRDefault="003F433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F719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3F7199">
        <w:rPr>
          <w:rFonts w:ascii="Times New Roman" w:hAnsi="Times New Roman" w:cs="Times New Roman"/>
          <w:sz w:val="24"/>
          <w:szCs w:val="24"/>
        </w:rPr>
        <w:t>203-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3F433C" w:rsidRPr="003F7199" w:rsidRDefault="003F433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19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3F719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F433C" w:rsidRPr="003F7199" w:rsidRDefault="00440B6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F433C" w:rsidRPr="001400CB" w:rsidRDefault="003F433C" w:rsidP="003F43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199" w:rsidRPr="003F7199" w:rsidRDefault="003F7199" w:rsidP="003F43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33C" w:rsidRPr="003F7199" w:rsidRDefault="00440B6C" w:rsidP="003F433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3F433C" w:rsidRPr="003F7199" w:rsidRDefault="003F433C" w:rsidP="003F433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7199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3F7199">
        <w:rPr>
          <w:rFonts w:ascii="Times New Roman" w:hAnsi="Times New Roman" w:cs="Times New Roman"/>
          <w:sz w:val="24"/>
          <w:szCs w:val="24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</w:rPr>
        <w:t>SEDNIC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3F433C" w:rsidRPr="003F7199" w:rsidRDefault="00440B6C" w:rsidP="003F43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r w:rsidR="003F433C" w:rsidRPr="003F7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33C" w:rsidRPr="003F7199">
        <w:rPr>
          <w:rFonts w:ascii="Times New Roman" w:hAnsi="Times New Roman" w:cs="Times New Roman"/>
          <w:sz w:val="24"/>
          <w:szCs w:val="24"/>
        </w:rPr>
        <w:t>OKTO</w:t>
      </w:r>
      <w:r>
        <w:rPr>
          <w:rFonts w:ascii="Times New Roman" w:hAnsi="Times New Roman" w:cs="Times New Roman"/>
          <w:sz w:val="24"/>
          <w:szCs w:val="24"/>
          <w:lang w:val="sr-Cyrl-RS"/>
        </w:rPr>
        <w:t>BRA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433C" w:rsidRPr="003F7199">
        <w:rPr>
          <w:rFonts w:ascii="Times New Roman" w:hAnsi="Times New Roman" w:cs="Times New Roman"/>
          <w:sz w:val="24"/>
          <w:szCs w:val="24"/>
        </w:rPr>
        <w:t>2017.</w:t>
      </w:r>
      <w:proofErr w:type="gramEnd"/>
      <w:r w:rsidR="003F433C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F433C" w:rsidRPr="003F7199" w:rsidRDefault="003F433C" w:rsidP="003F43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33C" w:rsidRPr="003F7199" w:rsidRDefault="003F433C" w:rsidP="003F43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33C" w:rsidRPr="003F7199" w:rsidRDefault="00440B6C" w:rsidP="003F43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07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7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1071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71BB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71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33C" w:rsidRPr="003F7199" w:rsidRDefault="003F433C" w:rsidP="003F43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33C" w:rsidRPr="003F7199" w:rsidRDefault="003F433C" w:rsidP="003F43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71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33C" w:rsidRPr="003F7199" w:rsidRDefault="003F433C" w:rsidP="003F43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71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Milekić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33C" w:rsidRPr="003F7199" w:rsidRDefault="003F433C" w:rsidP="003F43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1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5D69BC">
        <w:rPr>
          <w:rFonts w:ascii="Times New Roman" w:hAnsi="Times New Roman" w:cs="Times New Roman"/>
          <w:sz w:val="24"/>
          <w:szCs w:val="24"/>
        </w:rPr>
        <w:t>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D6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Vladimira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Orlića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Cokić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F433C" w:rsidRPr="003F7199" w:rsidRDefault="003F433C" w:rsidP="00A65917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19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="00545AF5" w:rsidRPr="003F71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Novica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Tončev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65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="00A65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A65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A65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659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917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="00A65917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A65917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65917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65917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65917" w:rsidRPr="003066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7199" w:rsidRDefault="003F7199" w:rsidP="003F7199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199" w:rsidRPr="003066D6" w:rsidRDefault="00440B6C" w:rsidP="003F7199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Rasim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Ljajić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16C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agende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regulativu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3F7199" w:rsidRPr="003066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F433C" w:rsidRPr="001400CB" w:rsidRDefault="003F433C" w:rsidP="003F43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33C" w:rsidRPr="003F7199" w:rsidRDefault="00440B6C" w:rsidP="003F43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F433C" w:rsidRPr="001400CB" w:rsidRDefault="003F433C" w:rsidP="00140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risustvashtiList"/>
    </w:p>
    <w:bookmarkEnd w:id="1"/>
    <w:p w:rsidR="003F433C" w:rsidRPr="003F7199" w:rsidRDefault="00440B6C" w:rsidP="003F4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F433C" w:rsidRPr="003F71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3F433C" w:rsidRPr="003F7199" w:rsidRDefault="003F433C" w:rsidP="003F4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433C" w:rsidRPr="003F7199" w:rsidRDefault="00440B6C" w:rsidP="003F433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33C" w:rsidRPr="003F7199" w:rsidRDefault="003F433C" w:rsidP="00C74F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0CB" w:rsidRPr="001400CB" w:rsidRDefault="00440B6C" w:rsidP="001400CB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F433C" w:rsidRPr="003F7199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1400CB" w:rsidRPr="003F7199" w:rsidRDefault="001400CB" w:rsidP="001400CB">
      <w:pPr>
        <w:tabs>
          <w:tab w:val="left" w:pos="709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B8D" w:rsidRPr="003F7199" w:rsidRDefault="00440B6C" w:rsidP="003F433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433C" w:rsidRPr="003F71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33C" w:rsidRPr="003F7199" w:rsidRDefault="003F433C" w:rsidP="003F43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4E4" w:rsidRPr="003F7199" w:rsidRDefault="00440B6C" w:rsidP="00097B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informacionoj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pojedinostima</w:t>
      </w:r>
    </w:p>
    <w:p w:rsidR="00097B8D" w:rsidRPr="003F7199" w:rsidRDefault="00097B8D" w:rsidP="00097B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B8D" w:rsidRPr="003F7199" w:rsidRDefault="00097B8D" w:rsidP="00097B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71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440B6C">
        <w:rPr>
          <w:rFonts w:ascii="Times New Roman" w:hAnsi="Times New Roman" w:cs="Times New Roman"/>
          <w:sz w:val="24"/>
          <w:szCs w:val="24"/>
        </w:rPr>
        <w:t>redlog</w:t>
      </w:r>
      <w:r w:rsidRPr="003F7199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</w:rPr>
        <w:t>zakona</w:t>
      </w:r>
      <w:r w:rsidRPr="003F7199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3F71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7B8D" w:rsidRPr="003F7199" w:rsidRDefault="00097B8D" w:rsidP="00097B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B8D" w:rsidRPr="00EC36C5" w:rsidRDefault="00440B6C" w:rsidP="00EC36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97B8D" w:rsidRPr="003F719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F7199">
        <w:rPr>
          <w:rFonts w:ascii="Times New Roman" w:hAnsi="Times New Roman" w:cs="Times New Roman"/>
          <w:b/>
          <w:sz w:val="24"/>
          <w:szCs w:val="24"/>
        </w:rPr>
        <w:t>1.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3F7199">
        <w:rPr>
          <w:rFonts w:ascii="Times New Roman" w:hAnsi="Times New Roman" w:cs="Times New Roman"/>
          <w:b/>
          <w:sz w:val="24"/>
          <w:szCs w:val="24"/>
        </w:rPr>
        <w:t>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3F7199">
        <w:rPr>
          <w:rFonts w:ascii="Times New Roman" w:hAnsi="Times New Roman" w:cs="Times New Roman"/>
          <w:b/>
          <w:sz w:val="24"/>
          <w:szCs w:val="24"/>
        </w:rPr>
        <w:t>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F7199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97B8D" w:rsidRPr="003F7199" w:rsidRDefault="00097B8D" w:rsidP="00EC36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Pr="003F71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Pr="003F7199">
        <w:rPr>
          <w:rFonts w:ascii="Times New Roman" w:hAnsi="Times New Roman" w:cs="Times New Roman"/>
          <w:sz w:val="24"/>
          <w:szCs w:val="24"/>
        </w:rPr>
        <w:t>.</w:t>
      </w:r>
    </w:p>
    <w:p w:rsidR="00097B8D" w:rsidRPr="003F7199" w:rsidRDefault="00097B8D" w:rsidP="00097B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7B8D" w:rsidRPr="003F7199" w:rsidRDefault="00440B6C" w:rsidP="00097B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097B8D" w:rsidRPr="003F7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097B8D" w:rsidRPr="003F7199">
        <w:rPr>
          <w:rFonts w:ascii="Times New Roman" w:hAnsi="Times New Roman" w:cs="Times New Roman"/>
          <w:sz w:val="24"/>
          <w:szCs w:val="24"/>
        </w:rPr>
        <w:t>.</w:t>
      </w:r>
    </w:p>
    <w:p w:rsidR="00097B8D" w:rsidRPr="003F7199" w:rsidRDefault="00097B8D" w:rsidP="00097B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B8D" w:rsidRPr="00C74F3F" w:rsidRDefault="00097B8D" w:rsidP="00097B8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7B8D" w:rsidRDefault="00440B6C" w:rsidP="00097B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97B8D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elektronskom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dokumentu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elektronskoj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identifikaciji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uslugama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poverenja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elektronskom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poslovanju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</w:t>
      </w:r>
      <w:r w:rsidR="00097B8D" w:rsidRPr="003F7199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pojedinostima</w:t>
      </w:r>
    </w:p>
    <w:p w:rsidR="00C74F3F" w:rsidRDefault="00C74F3F" w:rsidP="00097B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440B6C">
        <w:rPr>
          <w:rFonts w:ascii="Times New Roman" w:hAnsi="Times New Roman" w:cs="Times New Roman"/>
          <w:sz w:val="24"/>
          <w:szCs w:val="24"/>
        </w:rPr>
        <w:t>redlog</w:t>
      </w:r>
      <w:r w:rsidRPr="00C74F3F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</w:rPr>
        <w:t>zakona</w:t>
      </w:r>
      <w:r w:rsidRPr="00C74F3F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4F3F" w:rsidRPr="00C74F3F" w:rsidRDefault="00C74F3F" w:rsidP="00C74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</w:rPr>
        <w:t>I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74F3F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34.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34.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43.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58.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59.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74F3F">
        <w:rPr>
          <w:rFonts w:ascii="Times New Roman" w:hAnsi="Times New Roman" w:cs="Times New Roman"/>
          <w:sz w:val="24"/>
          <w:szCs w:val="24"/>
        </w:rPr>
        <w:t>.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74F3F" w:rsidRPr="00C74F3F" w:rsidRDefault="00440B6C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74F3F">
        <w:rPr>
          <w:rFonts w:ascii="Times New Roman" w:hAnsi="Times New Roman" w:cs="Times New Roman"/>
          <w:sz w:val="24"/>
          <w:szCs w:val="24"/>
        </w:rPr>
        <w:t>,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74F3F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C74F3F">
        <w:rPr>
          <w:rFonts w:ascii="Times New Roman" w:hAnsi="Times New Roman" w:cs="Times New Roman"/>
          <w:sz w:val="24"/>
          <w:szCs w:val="24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6.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6.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Marko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Đurišić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Miroslav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Konstantinović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Bogdanović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Zdravko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Stanković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</w:t>
      </w:r>
      <w:proofErr w:type="gramStart"/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amandman</w:t>
      </w:r>
      <w:proofErr w:type="gramEnd"/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kojim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se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posle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člana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6.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dodaje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novi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6</w:t>
      </w:r>
      <w:r w:rsidR="00440B6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a</w:t>
      </w:r>
      <w:r w:rsidRPr="00C74F3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,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Đurić</w:t>
      </w:r>
      <w:r w:rsidRPr="00C74F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</w:t>
      </w:r>
      <w:r w:rsidRPr="00C74F3F">
        <w:rPr>
          <w:rFonts w:ascii="Times New Roman" w:hAnsi="Times New Roman" w:cs="Times New Roman"/>
          <w:sz w:val="24"/>
          <w:szCs w:val="24"/>
        </w:rPr>
        <w:t>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Žigmanov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35.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38.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39.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51.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65.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Čabraja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70.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74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72.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Nogo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Vesović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C74F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4F3F" w:rsidRPr="00C74F3F" w:rsidRDefault="00C74F3F" w:rsidP="00C74F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74F3F">
        <w:rPr>
          <w:rFonts w:ascii="Times New Roman" w:hAnsi="Times New Roman" w:cs="Times New Roman"/>
          <w:sz w:val="24"/>
          <w:szCs w:val="24"/>
        </w:rPr>
        <w:t>II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4F3F" w:rsidRPr="00C74F3F" w:rsidRDefault="00440B6C" w:rsidP="00AE0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C74F3F" w:rsidRPr="00C74F3F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C74F3F" w:rsidRPr="00C74F3F">
        <w:rPr>
          <w:rFonts w:ascii="Times New Roman" w:hAnsi="Times New Roman" w:cs="Times New Roman"/>
          <w:sz w:val="24"/>
          <w:szCs w:val="24"/>
        </w:rPr>
        <w:t>e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74F3F" w:rsidRPr="00C74F3F">
        <w:rPr>
          <w:rFonts w:ascii="Times New Roman" w:hAnsi="Times New Roman" w:cs="Times New Roman"/>
          <w:sz w:val="24"/>
          <w:szCs w:val="24"/>
        </w:rPr>
        <w:t>24, 29, 36, 51, 66, 69.</w:t>
      </w:r>
      <w:proofErr w:type="gramEnd"/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70</w:t>
      </w:r>
      <w:r w:rsidR="00C74F3F" w:rsidRPr="00C74F3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74F3F" w:rsidRPr="00C74F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36C5" w:rsidRPr="00336E42" w:rsidRDefault="00EC36C5" w:rsidP="00AE0F9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0F97" w:rsidRPr="001C6570" w:rsidRDefault="00440B6C" w:rsidP="00AE0F9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AE0F97">
        <w:rPr>
          <w:rFonts w:ascii="Times New Roman" w:hAnsi="Times New Roman"/>
          <w:b/>
          <w:sz w:val="24"/>
          <w:szCs w:val="24"/>
          <w:lang w:val="sr-Cyrl-RS"/>
        </w:rPr>
        <w:t xml:space="preserve"> I</w:t>
      </w:r>
    </w:p>
    <w:p w:rsidR="00AE0F97" w:rsidRPr="002A49B5" w:rsidRDefault="00AE0F97" w:rsidP="002A49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F97" w:rsidRPr="006242ED" w:rsidRDefault="00AE0F97" w:rsidP="00624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prijavljuje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ˮ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zamenjuje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prijavljivati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ˮ.</w:t>
      </w:r>
    </w:p>
    <w:p w:rsidR="00AE0F97" w:rsidRPr="002A49B5" w:rsidRDefault="00AE0F97" w:rsidP="002A49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F97" w:rsidRPr="006242ED" w:rsidRDefault="00440B6C" w:rsidP="006242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AE0F97" w:rsidRPr="006242ED" w:rsidRDefault="00AE0F97" w:rsidP="00624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preciziranja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prijavljivanju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šema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prijavljivanje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opciono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0F97" w:rsidRPr="00411258" w:rsidRDefault="00AE0F97" w:rsidP="00AE0F9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0F97" w:rsidRPr="001C6570" w:rsidRDefault="00440B6C" w:rsidP="00AE0F9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II</w:t>
      </w:r>
    </w:p>
    <w:p w:rsidR="00AE0F97" w:rsidRPr="002A49B5" w:rsidRDefault="00AE0F97" w:rsidP="002A49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F97" w:rsidRPr="006242ED" w:rsidRDefault="00440B6C" w:rsidP="006242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F97" w:rsidRPr="006242ED" w:rsidRDefault="00AE0F97" w:rsidP="006242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F97" w:rsidRPr="006242ED" w:rsidRDefault="00AE0F97" w:rsidP="006242ED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ugrožavanju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gubitku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celovitosti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pruženu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uslugu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njoj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sadržane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0F97" w:rsidRPr="006242ED" w:rsidRDefault="00AE0F97" w:rsidP="006242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izveštava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eIDAS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.ˮ</w:t>
      </w:r>
    </w:p>
    <w:p w:rsidR="00AE0F97" w:rsidRPr="006242ED" w:rsidRDefault="00AE0F97" w:rsidP="00624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0F97" w:rsidRPr="006242ED" w:rsidRDefault="00440B6C" w:rsidP="00624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AE0F97" w:rsidRPr="006242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AE0F97" w:rsidRPr="006242ED" w:rsidRDefault="00AE0F97" w:rsidP="00624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proširio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ugrožavanja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gubitku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celovitosti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pruženu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uslugu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njoj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sadržanih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6242ED">
        <w:rPr>
          <w:rFonts w:ascii="Times New Roman" w:hAnsi="Times New Roman" w:cs="Times New Roman"/>
          <w:sz w:val="24"/>
          <w:szCs w:val="24"/>
        </w:rPr>
        <w:t>,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precizira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izveštava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0F97" w:rsidRPr="001C6570" w:rsidRDefault="00440B6C" w:rsidP="00AE0F9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III</w:t>
      </w:r>
    </w:p>
    <w:p w:rsidR="00AE0F97" w:rsidRDefault="00AE0F97" w:rsidP="00AE0F97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E0F97" w:rsidRPr="006242ED" w:rsidRDefault="00440B6C" w:rsidP="006242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F97" w:rsidRPr="006242ED" w:rsidRDefault="00AE0F97" w:rsidP="006242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>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izdavalac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postupi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opoziv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odlaganja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izdavaoca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.ˮ</w:t>
      </w:r>
    </w:p>
    <w:p w:rsidR="00AE0F97" w:rsidRDefault="00AE0F97" w:rsidP="00AE0F97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E0F97" w:rsidRPr="006242ED" w:rsidRDefault="00440B6C" w:rsidP="006242ED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ž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AE0F97" w:rsidRPr="006242ED" w:rsidRDefault="00AE0F97" w:rsidP="00624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preciziranja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pružaoca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kvalifikovane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pružalac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AE0F97" w:rsidRPr="002A49B5" w:rsidRDefault="00AE0F97" w:rsidP="002A49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F97" w:rsidRPr="00AB3DA6" w:rsidRDefault="00440B6C" w:rsidP="00AE0F97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I</w:t>
      </w:r>
      <w:r w:rsidR="00AE0F97" w:rsidRPr="001C6570">
        <w:rPr>
          <w:rFonts w:ascii="Times New Roman" w:hAnsi="Times New Roman"/>
          <w:b/>
          <w:sz w:val="24"/>
          <w:szCs w:val="24"/>
          <w:lang w:val="sr-Latn-RS"/>
        </w:rPr>
        <w:t>V</w:t>
      </w:r>
    </w:p>
    <w:p w:rsidR="00AE0F97" w:rsidRDefault="00AE0F97" w:rsidP="00AE0F9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0F97" w:rsidRPr="006242ED" w:rsidRDefault="00440B6C" w:rsidP="006242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briše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AE0F97" w:rsidRPr="006242E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F97" w:rsidRPr="006242ED" w:rsidRDefault="00AE0F97" w:rsidP="006242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F97" w:rsidRPr="006242ED" w:rsidRDefault="00AE0F97" w:rsidP="006242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42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. 1-5.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preduzeti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Pr="006242ED">
        <w:rPr>
          <w:rFonts w:ascii="Times New Roman" w:hAnsi="Times New Roman" w:cs="Times New Roman"/>
          <w:sz w:val="24"/>
          <w:szCs w:val="24"/>
          <w:lang w:val="sr-Cyrl-RS"/>
        </w:rPr>
        <w:t>.ˮ</w:t>
      </w:r>
    </w:p>
    <w:p w:rsidR="00AE0F97" w:rsidRPr="00AB3DA6" w:rsidRDefault="00AE0F97" w:rsidP="00AE0F9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0F97" w:rsidRPr="002A49B5" w:rsidRDefault="00440B6C" w:rsidP="002A49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AE0F97" w:rsidRPr="002A49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AE0F97" w:rsidRPr="002A49B5" w:rsidRDefault="00440B6C" w:rsidP="002A49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kolizija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opštenju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pouzdanosti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zamenjuje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podnesku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podnesak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pečat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pouzdanosti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opštenju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iskazivanje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volje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.17-22.),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pisanim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procedurama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podnesci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svrsishodno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podnesci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potpisuju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formalan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identifikovala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adekvatan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knjigovođa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potpisom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podnesak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pouzdan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autentikovala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portalu</w:t>
      </w:r>
      <w:r w:rsidR="00AE0F97" w:rsidRPr="002A49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A49B5" w:rsidRDefault="00AE0F97" w:rsidP="002A49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brisanja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nabrajanja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konkretnih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menice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testamenta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čeka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eventualnim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budućim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forme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izbeglo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menjanje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A49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0F97" w:rsidRPr="001C6570" w:rsidRDefault="00440B6C" w:rsidP="00AE0F9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AMANDMAN</w:t>
      </w:r>
      <w:r w:rsidR="00AE0F97" w:rsidRPr="001C6570">
        <w:rPr>
          <w:rFonts w:ascii="Times New Roman" w:hAnsi="Times New Roman"/>
          <w:b/>
          <w:sz w:val="24"/>
          <w:szCs w:val="24"/>
          <w:lang w:val="sr-Cyrl-RS"/>
        </w:rPr>
        <w:t xml:space="preserve"> V</w:t>
      </w:r>
    </w:p>
    <w:p w:rsidR="00AE0F97" w:rsidRPr="002F7DD2" w:rsidRDefault="00AE0F97" w:rsidP="00AE0F97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E0F97" w:rsidRPr="0061042A" w:rsidRDefault="00440B6C" w:rsidP="006104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66.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12) 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>: ,, (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3)ˮ,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zamenjuju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>: „(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>. 3</w:t>
      </w:r>
      <w:r w:rsidR="00AE0F97" w:rsidRPr="0061042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AE0F97" w:rsidRPr="0061042A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E0F97"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);ˮ. </w:t>
      </w:r>
    </w:p>
    <w:p w:rsidR="00AE0F97" w:rsidRDefault="00AE0F97" w:rsidP="00AE0F9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0F97" w:rsidRPr="0061042A" w:rsidRDefault="00440B6C" w:rsidP="006104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nj</w:t>
      </w:r>
      <w:r w:rsidR="00AE0F97" w:rsidRPr="006104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</w:p>
    <w:p w:rsidR="00AE0F97" w:rsidRPr="0061042A" w:rsidRDefault="00AE0F97" w:rsidP="006104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04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66.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12)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1042A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1042A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</w:p>
    <w:p w:rsidR="00AE0F97" w:rsidRPr="0061042A" w:rsidRDefault="00AE0F97" w:rsidP="006104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0F97" w:rsidRPr="00413004" w:rsidRDefault="00440B6C" w:rsidP="00AE0F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AMANDMAN</w:t>
      </w:r>
      <w:r w:rsidR="00AE0F97" w:rsidRPr="0041300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E0F97">
        <w:rPr>
          <w:rFonts w:ascii="Times New Roman" w:hAnsi="Times New Roman"/>
          <w:b/>
          <w:sz w:val="24"/>
          <w:szCs w:val="24"/>
          <w:lang w:val="sr-Cyrl-RS"/>
        </w:rPr>
        <w:t>VI</w:t>
      </w:r>
    </w:p>
    <w:p w:rsidR="00AE0F97" w:rsidRPr="0027385F" w:rsidRDefault="00AE0F97" w:rsidP="002738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lang w:val="sr-Cyrl-RS" w:eastAsia="sr-Latn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Posle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člana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69. 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dodaju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novi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>. 69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 69</w:t>
      </w:r>
      <w:r w:rsidR="00440B6C">
        <w:rPr>
          <w:rFonts w:ascii="Times New Roman" w:hAnsi="Times New Roman" w:cs="Times New Roman"/>
          <w:sz w:val="24"/>
          <w:szCs w:val="24"/>
          <w:lang w:val="sr-Cyrl-RS" w:eastAsia="sr-Latn-RS"/>
        </w:rPr>
        <w:t>b</w:t>
      </w:r>
      <w:r w:rsidRPr="0027385F">
        <w:rPr>
          <w:rFonts w:ascii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440B6C">
        <w:rPr>
          <w:rFonts w:ascii="Times New Roman" w:eastAsia="Lucida Sans Unicode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eastAsia="Lucida Sans Unicode" w:hAnsi="Times New Roman" w:cs="Times New Roman"/>
          <w:sz w:val="24"/>
          <w:szCs w:val="24"/>
          <w:lang w:val="sr-Cyrl-RS"/>
        </w:rPr>
        <w:t>glase</w:t>
      </w:r>
      <w:r w:rsidRPr="0027385F">
        <w:rPr>
          <w:rFonts w:ascii="Times New Roman" w:eastAsia="Lucida Sans Unicode" w:hAnsi="Times New Roman" w:cs="Times New Roman"/>
          <w:sz w:val="24"/>
          <w:szCs w:val="24"/>
          <w:lang w:val="sr-Cyrl-RS"/>
        </w:rPr>
        <w:t>:</w:t>
      </w:r>
    </w:p>
    <w:p w:rsidR="00AE0F97" w:rsidRPr="0027385F" w:rsidRDefault="00AE0F97" w:rsidP="0027385F">
      <w:pPr>
        <w:pStyle w:val="NoSpacing"/>
        <w:jc w:val="center"/>
        <w:rPr>
          <w:rFonts w:ascii="Times New Roman" w:eastAsia="Lucida Sans Unicode" w:hAnsi="Times New Roman" w:cs="Times New Roman"/>
          <w:sz w:val="24"/>
          <w:szCs w:val="24"/>
          <w:lang w:val="sr-Cyrl-RS"/>
        </w:rPr>
      </w:pPr>
      <w:r w:rsidRPr="0027385F">
        <w:rPr>
          <w:rFonts w:ascii="Times New Roman" w:eastAsia="Lucida Sans Unicode" w:hAnsi="Times New Roman" w:cs="Times New Roman"/>
          <w:sz w:val="24"/>
          <w:szCs w:val="24"/>
          <w:lang w:val="sr-Cyrl-RS"/>
        </w:rPr>
        <w:t>„</w:t>
      </w:r>
      <w:r w:rsidR="00440B6C">
        <w:rPr>
          <w:rFonts w:ascii="Times New Roman" w:eastAsia="Lucida Sans Unicode" w:hAnsi="Times New Roman" w:cs="Times New Roman"/>
          <w:sz w:val="24"/>
          <w:szCs w:val="24"/>
          <w:lang w:val="sr-Cyrl-RS"/>
        </w:rPr>
        <w:t>Član</w:t>
      </w:r>
      <w:r w:rsidRPr="0027385F">
        <w:rPr>
          <w:rFonts w:ascii="Times New Roman" w:eastAsia="Lucida Sans Unicode" w:hAnsi="Times New Roman" w:cs="Times New Roman"/>
          <w:sz w:val="24"/>
          <w:szCs w:val="24"/>
          <w:lang w:val="sr-Cyrl-RS"/>
        </w:rPr>
        <w:t xml:space="preserve"> 69</w:t>
      </w:r>
      <w:r w:rsidR="00440B6C">
        <w:rPr>
          <w:rFonts w:ascii="Times New Roman" w:eastAsia="Lucida Sans Unicode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eastAsia="Lucida Sans Unicode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AE0F97" w:rsidP="002738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A37">
        <w:rPr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5.000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prizna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Pr="0027385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ospori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dokaznu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sačinjenom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385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digatilozovanog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overenog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formatu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7).</w:t>
      </w:r>
    </w:p>
    <w:p w:rsidR="00AE0F97" w:rsidRPr="0027385F" w:rsidRDefault="00AE0F97" w:rsidP="002738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8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20.000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150.000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prizna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385F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lektronskom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potpisom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pečatom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svojeručnog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stavljanja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.50.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51).</w:t>
      </w:r>
    </w:p>
    <w:p w:rsidR="00AE0F97" w:rsidRPr="0027385F" w:rsidRDefault="00440B6C" w:rsidP="002738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69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AE0F97" w:rsidP="002738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A37">
        <w:rPr>
          <w:szCs w:val="20"/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50.000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2.000.000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izuzev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69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prizna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Pr="0027385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ospori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dokaznu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elektonskom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sačinjenom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digatilozovanog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overenog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formatu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7).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5.000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F97" w:rsidRPr="0027385F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69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0F97" w:rsidRPr="0027385F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lektronskom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pečatom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punovažnost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svojeručnog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potpisivanja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50.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51).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150.000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150.000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EC36C5" w:rsidRDefault="00EC36C5" w:rsidP="00EC36C5">
      <w:pPr>
        <w:pStyle w:val="NoSpacing"/>
        <w:rPr>
          <w:lang w:val="sr-Cyrl-RS"/>
        </w:rPr>
      </w:pPr>
    </w:p>
    <w:p w:rsidR="00AE0F97" w:rsidRPr="0027385F" w:rsidRDefault="00440B6C" w:rsidP="002738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b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r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z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l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ž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nj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</w:p>
    <w:p w:rsidR="00AE0F97" w:rsidRPr="0027385F" w:rsidRDefault="00AE0F97" w:rsidP="002738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85F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Ovaj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amandman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neophodno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usvojiti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kako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bi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Latn-C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dosledna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objedinjene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primećeno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imaoci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terminom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podrazumava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beležnici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odbijaju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prime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izdaju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pozivajući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interne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uspostavila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uporedo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izdaju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prepise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imalaca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prevode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papirnu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formu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obratno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izdavaocima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nepotreban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strankama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neopravdane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gubitak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7385F">
        <w:rPr>
          <w:rFonts w:ascii="Times New Roman" w:hAnsi="Times New Roman" w:cs="Times New Roman"/>
          <w:sz w:val="24"/>
          <w:szCs w:val="24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Slično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terenske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često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privrednika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štampaju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potpisuju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pečatiraju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izvorno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oglušujući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računovodstvu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AE0F97" w:rsidP="002738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razdvojena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propisala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prekršajima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65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2013, 13/16, 98/16),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teritorijalne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autonomije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organi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teritorijalne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autonomije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69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definisani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prekršajna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69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nepriznavanja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kopija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papirnih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procedurama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pretnjom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sankcionisanjem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nezakonitom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kompromituje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onemogućava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identičan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obesmisliti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AE0F97" w:rsidRPr="0027385F" w:rsidRDefault="00AE0F97" w:rsidP="0027385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F97" w:rsidRDefault="00440B6C" w:rsidP="002738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Cyrl-RS"/>
        </w:rPr>
        <w:t>VI</w:t>
      </w:r>
      <w:r w:rsidR="00AE0F97" w:rsidRPr="0027385F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</w:p>
    <w:p w:rsidR="0027385F" w:rsidRPr="0027385F" w:rsidRDefault="0027385F" w:rsidP="002738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0F97" w:rsidRPr="0027385F" w:rsidRDefault="00440B6C" w:rsidP="0027385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sr-Latn-CS"/>
        </w:rPr>
        <w:t>lan</w:t>
      </w:r>
      <w:r w:rsidR="00AE0F97" w:rsidRPr="0027385F">
        <w:rPr>
          <w:rFonts w:ascii="Times New Roman" w:hAnsi="Times New Roman" w:cs="Times New Roman"/>
          <w:sz w:val="24"/>
          <w:szCs w:val="24"/>
          <w:lang w:val="sr-Latn-CS"/>
        </w:rPr>
        <w:t xml:space="preserve"> 7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E0F97" w:rsidRPr="0027385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E0F97" w:rsidRPr="0027385F" w:rsidRDefault="00AE0F97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85F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18.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19.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3,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 31.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35.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46.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47.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doneće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34.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8,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38.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39.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43.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48.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49.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52.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27385F" w:rsidRDefault="00440B6C" w:rsidP="002738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55.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7,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. 62.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doneće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27385F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AE0F97" w:rsidRDefault="00AE0F97" w:rsidP="00AE0F9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0F97" w:rsidRPr="008632E7" w:rsidRDefault="00440B6C" w:rsidP="008632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b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r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z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l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ž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nj</w:t>
      </w:r>
      <w:r w:rsidR="00AE0F97" w:rsidRPr="008632E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e</w:t>
      </w:r>
    </w:p>
    <w:p w:rsidR="00AE0F97" w:rsidRPr="008632E7" w:rsidRDefault="00AE0F97" w:rsidP="008632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32E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skraćuje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nepostojanje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prevashodno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kvalifikovanu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dostavu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dugotrajno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čuvanje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ustvari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okvira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8632E7" w:rsidRDefault="00440B6C" w:rsidP="008632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mandman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neophodno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usvojiti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otpočelo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brojnih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snagu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osam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dana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dana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objavljivanja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Latn-RS"/>
        </w:rPr>
        <w:t>Službenom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glasniku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Republike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Srbije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odložena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prim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sertifikaciona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tela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nastavljaju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radom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kao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kvalifikovani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pružaoci</w:t>
      </w:r>
      <w:r w:rsidR="00AE0F97" w:rsidRPr="008632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uslug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E0F97" w:rsidRPr="008632E7" w:rsidRDefault="00440B6C" w:rsidP="008632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krug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uskladi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odloženo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dejstvo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objedinjenoj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format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usaglasiti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aktima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otpočelo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8632E7" w:rsidRDefault="00440B6C" w:rsidP="008632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Treba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otpočela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. 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2016),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aktuelizovana</w:t>
      </w:r>
      <w:r w:rsidR="00AE0F97" w:rsidRPr="008632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0F97" w:rsidRPr="008632E7" w:rsidRDefault="00AE0F97" w:rsidP="008632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usvajati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završnoj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punom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pravilnom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značajnog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otočne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god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skrati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zaokružuje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okvir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otpočinjanje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Pr="008632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36C5" w:rsidRPr="00AE0F97" w:rsidRDefault="00EC36C5" w:rsidP="00EC36C5">
      <w:pPr>
        <w:pStyle w:val="NoSpacing"/>
        <w:rPr>
          <w:lang w:val="sr-Cyrl-RS"/>
        </w:rPr>
      </w:pP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4F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prihvtio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74F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4F3F" w:rsidRP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F3F" w:rsidRPr="00C74F3F" w:rsidRDefault="00440B6C" w:rsidP="00C74F3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74F3F" w:rsidRPr="00C74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74F3F" w:rsidRPr="00C74F3F">
        <w:rPr>
          <w:rFonts w:ascii="Times New Roman" w:hAnsi="Times New Roman" w:cs="Times New Roman"/>
          <w:sz w:val="24"/>
          <w:szCs w:val="24"/>
        </w:rPr>
        <w:t>.</w:t>
      </w:r>
    </w:p>
    <w:p w:rsidR="00C74F3F" w:rsidRDefault="00C74F3F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00CB" w:rsidRDefault="001400CB" w:rsidP="00C74F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00CB" w:rsidRDefault="00440B6C" w:rsidP="00C74F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140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40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40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400C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400CB" w:rsidRPr="001400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1400CB" w:rsidRPr="001400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1400CB" w:rsidRPr="001400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400CB" w:rsidRPr="001400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400CB" w:rsidRPr="001400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C7B0C" w:rsidRDefault="009C7B0C" w:rsidP="00C74F3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7B0C" w:rsidRPr="003066D6" w:rsidRDefault="00440B6C" w:rsidP="006242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trećoj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nedelji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gradilišnom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kampu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Kržince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9C7B0C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Vladičin</w:t>
      </w:r>
      <w:r w:rsidR="009B5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Han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B524B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B52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,,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Babića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C7B0C" w:rsidRPr="009C7B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B52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obišli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radove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Koridoru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Grdeličku</w:t>
      </w:r>
      <w:r w:rsidR="009C7B0C" w:rsidRPr="009C7B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klisuru</w:t>
      </w:r>
      <w:r w:rsidR="009C7B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86A" w:rsidRDefault="001E486A" w:rsidP="001E486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486A" w:rsidRDefault="001E486A" w:rsidP="001E486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486A" w:rsidRDefault="001E486A" w:rsidP="001E486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2036" w:rsidRDefault="009C7B0C" w:rsidP="006F2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6F2036" w:rsidRPr="003066D6" w:rsidRDefault="006F2036" w:rsidP="006F20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Default="009C7B0C" w:rsidP="009C7B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*     </w:t>
      </w:r>
      <w:r w:rsidR="006F2036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*</w:t>
      </w:r>
    </w:p>
    <w:p w:rsidR="009C7B0C" w:rsidRPr="003066D6" w:rsidRDefault="009C7B0C" w:rsidP="001E486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Default="009C7B0C" w:rsidP="009C7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Pr="003066D6" w:rsidRDefault="009C7B0C" w:rsidP="009C7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Pr="003066D6" w:rsidRDefault="00440B6C" w:rsidP="009C7B0C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9C7B0C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C7B0C" w:rsidRPr="003066D6" w:rsidRDefault="009C7B0C" w:rsidP="009C7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Pr="001071BB" w:rsidRDefault="009C7B0C" w:rsidP="009C7B0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071BB">
        <w:rPr>
          <w:rFonts w:ascii="Times New Roman" w:hAnsi="Times New Roman" w:cs="Times New Roman"/>
          <w:sz w:val="24"/>
          <w:szCs w:val="24"/>
        </w:rPr>
        <w:t>1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1071BB">
        <w:rPr>
          <w:rFonts w:ascii="Times New Roman" w:hAnsi="Times New Roman" w:cs="Times New Roman"/>
          <w:sz w:val="24"/>
          <w:szCs w:val="24"/>
        </w:rPr>
        <w:t>.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071BB" w:rsidRPr="001071B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C7B0C" w:rsidRPr="001071BB" w:rsidRDefault="009C7B0C" w:rsidP="009C7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Pr="003066D6" w:rsidRDefault="009C7B0C" w:rsidP="009C7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71BB" w:rsidRPr="003066D6" w:rsidRDefault="00440B6C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71BB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071BB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071BB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071BB" w:rsidRPr="003066D6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71BB" w:rsidRPr="003066D6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59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0B6C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</w:p>
    <w:p w:rsidR="001071BB" w:rsidRPr="003066D6" w:rsidRDefault="001071BB" w:rsidP="001071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B0C" w:rsidRPr="003066D6" w:rsidRDefault="009C7B0C" w:rsidP="009C7B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C7B0C" w:rsidRPr="003066D6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B0" w:rsidRDefault="001975B0" w:rsidP="003F5D4F">
      <w:pPr>
        <w:spacing w:after="0" w:line="240" w:lineRule="auto"/>
      </w:pPr>
      <w:r>
        <w:separator/>
      </w:r>
    </w:p>
  </w:endnote>
  <w:endnote w:type="continuationSeparator" w:id="0">
    <w:p w:rsidR="001975B0" w:rsidRDefault="001975B0" w:rsidP="003F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93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D4F" w:rsidRDefault="003F5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B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F5D4F" w:rsidRDefault="003F5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B0" w:rsidRDefault="001975B0" w:rsidP="003F5D4F">
      <w:pPr>
        <w:spacing w:after="0" w:line="240" w:lineRule="auto"/>
      </w:pPr>
      <w:r>
        <w:separator/>
      </w:r>
    </w:p>
  </w:footnote>
  <w:footnote w:type="continuationSeparator" w:id="0">
    <w:p w:rsidR="001975B0" w:rsidRDefault="001975B0" w:rsidP="003F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3C"/>
    <w:rsid w:val="0001591A"/>
    <w:rsid w:val="00097B8D"/>
    <w:rsid w:val="001071BB"/>
    <w:rsid w:val="001400CB"/>
    <w:rsid w:val="001975B0"/>
    <w:rsid w:val="001E486A"/>
    <w:rsid w:val="0027385F"/>
    <w:rsid w:val="002A49B5"/>
    <w:rsid w:val="003C7D24"/>
    <w:rsid w:val="003F433C"/>
    <w:rsid w:val="003F5D4F"/>
    <w:rsid w:val="003F7199"/>
    <w:rsid w:val="00440B6C"/>
    <w:rsid w:val="0044732B"/>
    <w:rsid w:val="00545AF5"/>
    <w:rsid w:val="005D69BC"/>
    <w:rsid w:val="0061042A"/>
    <w:rsid w:val="006242ED"/>
    <w:rsid w:val="006F2036"/>
    <w:rsid w:val="00752E88"/>
    <w:rsid w:val="00794412"/>
    <w:rsid w:val="00844EF0"/>
    <w:rsid w:val="008632E7"/>
    <w:rsid w:val="009B524B"/>
    <w:rsid w:val="009C7B0C"/>
    <w:rsid w:val="00A65917"/>
    <w:rsid w:val="00A73B9E"/>
    <w:rsid w:val="00AE0F97"/>
    <w:rsid w:val="00C16C86"/>
    <w:rsid w:val="00C61AE2"/>
    <w:rsid w:val="00C74F3F"/>
    <w:rsid w:val="00DE51E1"/>
    <w:rsid w:val="00E07EC0"/>
    <w:rsid w:val="00E104E4"/>
    <w:rsid w:val="00E55015"/>
    <w:rsid w:val="00EC36C5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3F43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4F"/>
  </w:style>
  <w:style w:type="paragraph" w:styleId="Footer">
    <w:name w:val="footer"/>
    <w:basedOn w:val="Normal"/>
    <w:link w:val="FooterChar"/>
    <w:uiPriority w:val="99"/>
    <w:unhideWhenUsed/>
    <w:rsid w:val="003F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3F43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4F"/>
  </w:style>
  <w:style w:type="paragraph" w:styleId="Footer">
    <w:name w:val="footer"/>
    <w:basedOn w:val="Normal"/>
    <w:link w:val="FooterChar"/>
    <w:uiPriority w:val="99"/>
    <w:unhideWhenUsed/>
    <w:rsid w:val="003F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Sandra Stankovic</cp:lastModifiedBy>
  <cp:revision>25</cp:revision>
  <dcterms:created xsi:type="dcterms:W3CDTF">2017-10-13T09:12:00Z</dcterms:created>
  <dcterms:modified xsi:type="dcterms:W3CDTF">2018-01-26T13:57:00Z</dcterms:modified>
</cp:coreProperties>
</file>